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00" w:rsidRPr="00760D77" w:rsidRDefault="00783E00" w:rsidP="00783E00">
      <w:pPr>
        <w:pStyle w:val="Title"/>
        <w:rPr>
          <w:lang w:val="fr-BE"/>
        </w:rPr>
      </w:pPr>
      <w:r w:rsidRPr="00760D77">
        <w:rPr>
          <w:lang w:val="fr-BE"/>
        </w:rPr>
        <w:t>Schéma des rapports narratifs d’avancement d’un projet du programme FBSA</w:t>
      </w:r>
    </w:p>
    <w:p w:rsidR="00783E00" w:rsidRPr="003B08D9" w:rsidRDefault="00783E00" w:rsidP="00783E00">
      <w:pPr>
        <w:rPr>
          <w:rFonts w:ascii="Arial" w:hAnsi="Arial" w:cs="Arial"/>
          <w:sz w:val="24"/>
          <w:lang w:val="fr-BE"/>
        </w:rPr>
      </w:pPr>
    </w:p>
    <w:p w:rsidR="00783E00" w:rsidRPr="003B08D9" w:rsidRDefault="00783E00" w:rsidP="00783E00">
      <w:pPr>
        <w:rPr>
          <w:rFonts w:ascii="Times New Roman" w:hAnsi="Times New Roman"/>
          <w:sz w:val="24"/>
          <w:lang w:val="fr-BE"/>
        </w:rPr>
      </w:pPr>
    </w:p>
    <w:p w:rsidR="00783E00" w:rsidRPr="00B11F34" w:rsidRDefault="00783E00" w:rsidP="0078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0"/>
          <w:lang w:val="fr-FR" w:eastAsia="nl-NL"/>
        </w:rPr>
      </w:pPr>
      <w:r w:rsidRPr="00B11F34">
        <w:rPr>
          <w:rFonts w:cs="Arial"/>
          <w:b/>
          <w:sz w:val="28"/>
          <w:szCs w:val="28"/>
          <w:lang w:val="fr-FR" w:eastAsia="nl-NL"/>
        </w:rPr>
        <w:t xml:space="preserve">Rapport narratif d’avancement d’un projet du programme FBSA </w:t>
      </w:r>
    </w:p>
    <w:p w:rsidR="00783E00" w:rsidRPr="00B11F34" w:rsidRDefault="00783E00" w:rsidP="00783E00">
      <w:pPr>
        <w:jc w:val="both"/>
        <w:rPr>
          <w:rFonts w:cs="Arial"/>
          <w:sz w:val="22"/>
          <w:szCs w:val="22"/>
          <w:lang w:val="fr-FR" w:eastAsia="nl-NL"/>
        </w:rPr>
      </w:pPr>
    </w:p>
    <w:p w:rsidR="00783E00" w:rsidRPr="00B11F34" w:rsidRDefault="00783E00" w:rsidP="00783E00">
      <w:pPr>
        <w:jc w:val="both"/>
        <w:rPr>
          <w:rFonts w:cs="Arial"/>
          <w:szCs w:val="20"/>
          <w:lang w:val="fr-FR" w:eastAsia="nl-NL"/>
        </w:rPr>
      </w:pPr>
      <w:r w:rsidRPr="00B11F34">
        <w:rPr>
          <w:rFonts w:cs="Arial"/>
          <w:i/>
          <w:szCs w:val="20"/>
          <w:lang w:val="fr-FR" w:eastAsia="nl-NL"/>
        </w:rPr>
        <w:t>Le rapport est élaboré selon les principes de la gestion axée sur les résultats</w:t>
      </w:r>
      <w:r w:rsidRPr="00B11F34">
        <w:rPr>
          <w:rFonts w:cs="Arial"/>
          <w:szCs w:val="20"/>
          <w:lang w:val="fr-FR" w:eastAsia="nl-NL"/>
        </w:rPr>
        <w:t xml:space="preserve">. </w:t>
      </w:r>
    </w:p>
    <w:p w:rsidR="00783E00" w:rsidRDefault="00783E00" w:rsidP="00783E00">
      <w:pPr>
        <w:jc w:val="both"/>
        <w:rPr>
          <w:rFonts w:cs="Arial"/>
          <w:szCs w:val="20"/>
          <w:lang w:val="fr-FR" w:eastAsia="nl-NL"/>
        </w:rPr>
      </w:pPr>
    </w:p>
    <w:p w:rsidR="00783E00" w:rsidRPr="00B11F34" w:rsidRDefault="00783E00" w:rsidP="00783E00">
      <w:pPr>
        <w:jc w:val="both"/>
        <w:rPr>
          <w:rFonts w:cs="Arial"/>
          <w:szCs w:val="20"/>
          <w:lang w:val="fr-FR" w:eastAsia="nl-NL"/>
        </w:rPr>
      </w:pPr>
    </w:p>
    <w:p w:rsidR="00783E00" w:rsidRPr="00B11F34" w:rsidRDefault="00783E00" w:rsidP="00783E00">
      <w:pPr>
        <w:numPr>
          <w:ilvl w:val="0"/>
          <w:numId w:val="1"/>
        </w:numPr>
        <w:rPr>
          <w:rFonts w:cs="Arial"/>
          <w:b/>
          <w:szCs w:val="20"/>
          <w:u w:val="single"/>
          <w:lang w:val="en-GB"/>
        </w:rPr>
      </w:pPr>
      <w:proofErr w:type="spellStart"/>
      <w:r w:rsidRPr="00B11F34">
        <w:rPr>
          <w:rFonts w:cs="Arial"/>
          <w:b/>
          <w:szCs w:val="20"/>
          <w:u w:val="single"/>
          <w:lang w:val="en-GB"/>
        </w:rPr>
        <w:t>Données</w:t>
      </w:r>
      <w:proofErr w:type="spellEnd"/>
      <w:r w:rsidRPr="00B11F34">
        <w:rPr>
          <w:rFonts w:cs="Arial"/>
          <w:b/>
          <w:szCs w:val="20"/>
          <w:u w:val="single"/>
          <w:lang w:val="en-GB"/>
        </w:rPr>
        <w:t xml:space="preserve"> de base</w:t>
      </w:r>
    </w:p>
    <w:p w:rsidR="00783E00" w:rsidRPr="00B11F34" w:rsidRDefault="00783E00" w:rsidP="00783E00">
      <w:pPr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szCs w:val="20"/>
          <w:lang w:val="en-GB"/>
        </w:rPr>
      </w:pPr>
      <w:r w:rsidRPr="00B11F34">
        <w:rPr>
          <w:rFonts w:cs="Arial"/>
          <w:szCs w:val="20"/>
          <w:lang w:val="en-GB"/>
        </w:rPr>
        <w:t xml:space="preserve">Nom de </w:t>
      </w:r>
      <w:proofErr w:type="spellStart"/>
      <w:proofErr w:type="gramStart"/>
      <w:r w:rsidRPr="00B11F34">
        <w:rPr>
          <w:rFonts w:cs="Arial"/>
          <w:szCs w:val="20"/>
          <w:lang w:val="en-GB"/>
        </w:rPr>
        <w:t>l’organisation</w:t>
      </w:r>
      <w:proofErr w:type="spellEnd"/>
      <w:r w:rsidRPr="00B11F34">
        <w:rPr>
          <w:rFonts w:cs="Arial"/>
          <w:szCs w:val="20"/>
          <w:lang w:val="en-GB"/>
        </w:rPr>
        <w:t xml:space="preserve"> :</w:t>
      </w:r>
      <w:proofErr w:type="gramEnd"/>
      <w:r w:rsidRPr="00B11F34">
        <w:rPr>
          <w:rFonts w:cs="Arial"/>
          <w:szCs w:val="20"/>
          <w:lang w:val="en-GB"/>
        </w:rPr>
        <w:t xml:space="preserve"> </w:t>
      </w:r>
      <w:r w:rsidRPr="00B11F34">
        <w:rPr>
          <w:rFonts w:cs="Arial"/>
          <w:szCs w:val="20"/>
          <w:lang w:val="en-GB"/>
        </w:rPr>
        <w:tab/>
      </w:r>
    </w:p>
    <w:p w:rsidR="00783E00" w:rsidRPr="00B11F34" w:rsidRDefault="00783E00" w:rsidP="0078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szCs w:val="20"/>
          <w:lang w:val="en-GB"/>
        </w:rPr>
      </w:pPr>
      <w:r w:rsidRPr="00B11F34">
        <w:rPr>
          <w:rFonts w:cs="Arial"/>
          <w:szCs w:val="20"/>
          <w:lang w:val="en-GB"/>
        </w:rPr>
        <w:t xml:space="preserve">Pays: </w:t>
      </w:r>
      <w:r w:rsidRPr="00B11F34">
        <w:rPr>
          <w:rFonts w:cs="Arial"/>
          <w:szCs w:val="20"/>
          <w:lang w:val="en-GB"/>
        </w:rPr>
        <w:tab/>
      </w:r>
    </w:p>
    <w:p w:rsidR="00783E00" w:rsidRPr="00B11F34" w:rsidRDefault="00783E00" w:rsidP="0078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szCs w:val="20"/>
          <w:lang w:val="en-GB"/>
        </w:rPr>
      </w:pPr>
      <w:r w:rsidRPr="00B11F34">
        <w:rPr>
          <w:rFonts w:cs="Arial"/>
          <w:szCs w:val="20"/>
          <w:lang w:val="en-GB"/>
        </w:rPr>
        <w:t xml:space="preserve">Titre du </w:t>
      </w:r>
      <w:proofErr w:type="gramStart"/>
      <w:r w:rsidRPr="00B11F34">
        <w:rPr>
          <w:rFonts w:cs="Arial"/>
          <w:szCs w:val="20"/>
          <w:lang w:val="en-GB"/>
        </w:rPr>
        <w:t>programme :</w:t>
      </w:r>
      <w:proofErr w:type="gramEnd"/>
      <w:r w:rsidRPr="00B11F34">
        <w:rPr>
          <w:rFonts w:cs="Arial"/>
          <w:szCs w:val="20"/>
          <w:lang w:val="en-GB"/>
        </w:rPr>
        <w:t xml:space="preserve"> </w:t>
      </w:r>
      <w:r w:rsidRPr="00B11F34">
        <w:rPr>
          <w:rFonts w:cs="Arial"/>
          <w:szCs w:val="20"/>
          <w:lang w:val="en-GB"/>
        </w:rPr>
        <w:tab/>
      </w:r>
    </w:p>
    <w:p w:rsidR="00783E00" w:rsidRPr="00B11F34" w:rsidRDefault="00783E00" w:rsidP="0078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szCs w:val="20"/>
          <w:lang w:val="en-GB" w:eastAsia="nl-NL"/>
        </w:rPr>
      </w:pPr>
      <w:proofErr w:type="spellStart"/>
      <w:proofErr w:type="gramStart"/>
      <w:r w:rsidRPr="00B11F34">
        <w:rPr>
          <w:rFonts w:cs="Arial"/>
          <w:szCs w:val="20"/>
          <w:lang w:val="en-GB" w:eastAsia="nl-NL"/>
        </w:rPr>
        <w:t>Durée</w:t>
      </w:r>
      <w:proofErr w:type="spellEnd"/>
      <w:r w:rsidRPr="00B11F34">
        <w:rPr>
          <w:rFonts w:cs="Arial"/>
          <w:szCs w:val="20"/>
          <w:lang w:val="en-GB" w:eastAsia="nl-NL"/>
        </w:rPr>
        <w:t xml:space="preserve"> :</w:t>
      </w:r>
      <w:proofErr w:type="gramEnd"/>
      <w:r w:rsidRPr="00B11F34">
        <w:rPr>
          <w:rFonts w:cs="Arial"/>
          <w:szCs w:val="20"/>
          <w:lang w:val="en-GB" w:eastAsia="nl-NL"/>
        </w:rPr>
        <w:t xml:space="preserve"> </w:t>
      </w:r>
      <w:r w:rsidRPr="00B11F34">
        <w:rPr>
          <w:rFonts w:cs="Arial"/>
          <w:szCs w:val="20"/>
          <w:lang w:val="en-GB" w:eastAsia="nl-NL"/>
        </w:rPr>
        <w:tab/>
      </w:r>
    </w:p>
    <w:p w:rsidR="00783E00" w:rsidRPr="00B11F34" w:rsidRDefault="00783E00" w:rsidP="0078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szCs w:val="20"/>
          <w:lang w:val="en-GB"/>
        </w:rPr>
      </w:pPr>
      <w:proofErr w:type="spellStart"/>
      <w:proofErr w:type="gramStart"/>
      <w:r w:rsidRPr="00B11F34">
        <w:rPr>
          <w:rFonts w:cs="Arial"/>
          <w:szCs w:val="20"/>
          <w:lang w:val="en-GB"/>
        </w:rPr>
        <w:t>Année</w:t>
      </w:r>
      <w:proofErr w:type="spellEnd"/>
      <w:r w:rsidRPr="00B11F34">
        <w:rPr>
          <w:rFonts w:cs="Arial"/>
          <w:szCs w:val="20"/>
          <w:lang w:val="en-GB"/>
        </w:rPr>
        <w:t xml:space="preserve">  :</w:t>
      </w:r>
      <w:proofErr w:type="gramEnd"/>
      <w:r w:rsidRPr="00B11F34">
        <w:rPr>
          <w:rFonts w:cs="Arial"/>
          <w:szCs w:val="20"/>
          <w:lang w:val="en-GB"/>
        </w:rPr>
        <w:t xml:space="preserve"> </w:t>
      </w:r>
      <w:r w:rsidRPr="00B11F34">
        <w:rPr>
          <w:rFonts w:cs="Arial"/>
          <w:szCs w:val="20"/>
          <w:lang w:val="en-GB"/>
        </w:rPr>
        <w:tab/>
      </w:r>
    </w:p>
    <w:p w:rsidR="00783E00" w:rsidRPr="00B11F34" w:rsidRDefault="00783E00" w:rsidP="0078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cs="Arial"/>
          <w:szCs w:val="20"/>
          <w:lang w:val="en-GB"/>
        </w:rPr>
      </w:pPr>
      <w:proofErr w:type="spellStart"/>
      <w:r w:rsidRPr="00B11F34">
        <w:rPr>
          <w:rFonts w:cs="Arial"/>
          <w:szCs w:val="20"/>
          <w:lang w:val="en-GB"/>
        </w:rPr>
        <w:t>Période</w:t>
      </w:r>
      <w:proofErr w:type="spellEnd"/>
      <w:r w:rsidRPr="00B11F34">
        <w:rPr>
          <w:rFonts w:cs="Arial"/>
          <w:szCs w:val="20"/>
          <w:lang w:val="en-GB"/>
        </w:rPr>
        <w:t xml:space="preserve"> de </w:t>
      </w:r>
      <w:proofErr w:type="spellStart"/>
      <w:proofErr w:type="gramStart"/>
      <w:r w:rsidRPr="00B11F34">
        <w:rPr>
          <w:rFonts w:cs="Arial"/>
          <w:szCs w:val="20"/>
          <w:lang w:val="en-GB"/>
        </w:rPr>
        <w:t>rapportage</w:t>
      </w:r>
      <w:proofErr w:type="spellEnd"/>
      <w:r w:rsidRPr="00B11F34">
        <w:rPr>
          <w:rFonts w:cs="Arial"/>
          <w:szCs w:val="20"/>
          <w:lang w:val="en-GB"/>
        </w:rPr>
        <w:t xml:space="preserve"> :</w:t>
      </w:r>
      <w:proofErr w:type="gramEnd"/>
      <w:r w:rsidRPr="00B11F34">
        <w:rPr>
          <w:rFonts w:cs="Arial"/>
          <w:szCs w:val="20"/>
          <w:lang w:val="en-GB"/>
        </w:rPr>
        <w:t xml:space="preserve"> </w:t>
      </w:r>
      <w:r w:rsidRPr="00B11F34">
        <w:rPr>
          <w:rFonts w:cs="Arial"/>
          <w:szCs w:val="20"/>
          <w:lang w:val="en-GB"/>
        </w:rPr>
        <w:tab/>
      </w:r>
    </w:p>
    <w:p w:rsidR="00783E00" w:rsidRPr="00B11F34" w:rsidRDefault="00783E00" w:rsidP="0078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leader="dot" w:pos="7230"/>
          <w:tab w:val="right" w:pos="8640"/>
          <w:tab w:val="right" w:leader="dot" w:pos="9072"/>
        </w:tabs>
        <w:rPr>
          <w:rFonts w:cs="Arial"/>
          <w:szCs w:val="20"/>
          <w:lang w:val="fr-FR"/>
        </w:rPr>
      </w:pPr>
      <w:r w:rsidRPr="00B11F34">
        <w:rPr>
          <w:rFonts w:cs="Arial"/>
          <w:szCs w:val="20"/>
          <w:lang w:val="fr-FR"/>
        </w:rPr>
        <w:t xml:space="preserve">Budget total approuvé : </w:t>
      </w:r>
      <w:r w:rsidRPr="00B11F34">
        <w:rPr>
          <w:rFonts w:cs="Arial"/>
          <w:szCs w:val="20"/>
          <w:lang w:val="fr-FR"/>
        </w:rPr>
        <w:tab/>
        <w:t>€</w:t>
      </w:r>
      <w:r w:rsidRPr="00B11F34">
        <w:rPr>
          <w:rFonts w:cs="Arial"/>
          <w:szCs w:val="20"/>
          <w:lang w:val="fr-FR"/>
        </w:rPr>
        <w:tab/>
      </w:r>
    </w:p>
    <w:p w:rsidR="00783E00" w:rsidRPr="00B11F34" w:rsidRDefault="00783E00" w:rsidP="0078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leader="dot" w:pos="7230"/>
          <w:tab w:val="right" w:pos="8640"/>
          <w:tab w:val="right" w:leader="dot" w:pos="9072"/>
        </w:tabs>
        <w:rPr>
          <w:rFonts w:cs="Arial"/>
          <w:szCs w:val="20"/>
          <w:lang w:val="fr-FR"/>
        </w:rPr>
      </w:pPr>
      <w:r w:rsidRPr="00B11F34">
        <w:rPr>
          <w:rFonts w:cs="Arial"/>
          <w:szCs w:val="20"/>
          <w:lang w:val="fr-FR"/>
        </w:rPr>
        <w:t xml:space="preserve">Budget pour l’année </w:t>
      </w:r>
      <w:proofErr w:type="gramStart"/>
      <w:r w:rsidRPr="00B11F34">
        <w:rPr>
          <w:rFonts w:cs="Arial"/>
          <w:szCs w:val="20"/>
          <w:lang w:val="fr-FR"/>
        </w:rPr>
        <w:t>concernée  :</w:t>
      </w:r>
      <w:proofErr w:type="gramEnd"/>
      <w:r w:rsidRPr="00B11F34">
        <w:rPr>
          <w:rFonts w:cs="Arial"/>
          <w:szCs w:val="20"/>
          <w:lang w:val="fr-FR"/>
        </w:rPr>
        <w:t xml:space="preserve"> </w:t>
      </w:r>
      <w:r w:rsidRPr="00B11F34">
        <w:rPr>
          <w:rFonts w:cs="Arial"/>
          <w:szCs w:val="20"/>
          <w:lang w:val="fr-FR"/>
        </w:rPr>
        <w:tab/>
        <w:t>€</w:t>
      </w:r>
      <w:r w:rsidRPr="00B11F34">
        <w:rPr>
          <w:rFonts w:cs="Arial"/>
          <w:szCs w:val="20"/>
          <w:lang w:val="fr-FR"/>
        </w:rPr>
        <w:tab/>
      </w:r>
    </w:p>
    <w:p w:rsidR="00783E00" w:rsidRPr="00B11F34" w:rsidRDefault="00783E00" w:rsidP="00783E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8640"/>
        </w:tabs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tabs>
          <w:tab w:val="left" w:pos="284"/>
        </w:tabs>
        <w:jc w:val="both"/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numPr>
          <w:ilvl w:val="0"/>
          <w:numId w:val="1"/>
        </w:numPr>
        <w:rPr>
          <w:rFonts w:cs="Arial"/>
          <w:b/>
          <w:szCs w:val="20"/>
          <w:u w:val="single"/>
          <w:lang w:val="fr-FR"/>
        </w:rPr>
      </w:pPr>
      <w:r w:rsidRPr="00B11F34">
        <w:rPr>
          <w:rFonts w:cs="Arial"/>
          <w:b/>
          <w:szCs w:val="20"/>
          <w:u w:val="single"/>
          <w:lang w:val="fr-FR"/>
        </w:rPr>
        <w:t>Résumé</w:t>
      </w:r>
    </w:p>
    <w:p w:rsidR="00783E00" w:rsidRPr="00B11F34" w:rsidRDefault="00783E00" w:rsidP="00783E00">
      <w:pPr>
        <w:ind w:left="360"/>
        <w:rPr>
          <w:rFonts w:cs="Arial"/>
          <w:b/>
          <w:szCs w:val="20"/>
          <w:u w:val="single"/>
          <w:lang w:val="fr-FR"/>
        </w:rPr>
      </w:pPr>
    </w:p>
    <w:p w:rsidR="00783E00" w:rsidRPr="00B11F34" w:rsidRDefault="00783E00" w:rsidP="00783E00">
      <w:pPr>
        <w:ind w:left="360"/>
        <w:rPr>
          <w:rFonts w:cs="Arial"/>
          <w:b/>
          <w:szCs w:val="20"/>
          <w:u w:val="single"/>
          <w:lang w:val="fr-FR"/>
        </w:rPr>
      </w:pPr>
    </w:p>
    <w:p w:rsidR="00783E00" w:rsidRPr="00B11F34" w:rsidRDefault="00783E00" w:rsidP="00783E00">
      <w:pPr>
        <w:numPr>
          <w:ilvl w:val="0"/>
          <w:numId w:val="1"/>
        </w:numPr>
        <w:rPr>
          <w:rFonts w:cs="Arial"/>
          <w:b/>
          <w:szCs w:val="20"/>
          <w:u w:val="single"/>
          <w:lang w:val="fr-FR"/>
        </w:rPr>
      </w:pPr>
      <w:r w:rsidRPr="00B11F34">
        <w:rPr>
          <w:rFonts w:cs="Arial"/>
          <w:b/>
          <w:szCs w:val="20"/>
          <w:u w:val="single"/>
          <w:lang w:val="fr-FR"/>
        </w:rPr>
        <w:t xml:space="preserve">Evolution de l’environnement du projet/de la composante </w:t>
      </w:r>
    </w:p>
    <w:p w:rsidR="00783E00" w:rsidRPr="00B11F34" w:rsidRDefault="00783E00" w:rsidP="00783E00">
      <w:pPr>
        <w:ind w:left="1560" w:hanging="480"/>
        <w:rPr>
          <w:rFonts w:cs="Arial"/>
          <w:szCs w:val="20"/>
          <w:lang w:val="fr-FR"/>
        </w:rPr>
      </w:pPr>
      <w:r w:rsidRPr="00B11F34">
        <w:rPr>
          <w:rFonts w:cs="Arial"/>
          <w:szCs w:val="20"/>
          <w:lang w:val="fr-FR"/>
        </w:rPr>
        <w:t>3.1. Contexte externe (</w:t>
      </w:r>
      <w:r w:rsidRPr="00B11F34">
        <w:rPr>
          <w:rFonts w:cs="Arial"/>
          <w:i/>
          <w:szCs w:val="20"/>
          <w:lang w:val="fr-FR"/>
        </w:rPr>
        <w:t>changements institutionnel, social, politique, économique, etc...)</w:t>
      </w:r>
    </w:p>
    <w:p w:rsidR="00783E00" w:rsidRPr="00B11F34" w:rsidRDefault="00783E00" w:rsidP="00783E00">
      <w:pPr>
        <w:ind w:left="1080"/>
        <w:rPr>
          <w:rFonts w:cs="Arial"/>
          <w:szCs w:val="20"/>
          <w:lang w:val="fr-FR"/>
        </w:rPr>
      </w:pPr>
      <w:r w:rsidRPr="00B11F34">
        <w:rPr>
          <w:rFonts w:cs="Arial"/>
          <w:szCs w:val="20"/>
          <w:lang w:val="fr-FR"/>
        </w:rPr>
        <w:t xml:space="preserve">3.2. Contexte interne : </w:t>
      </w:r>
      <w:r w:rsidRPr="00B11F34">
        <w:rPr>
          <w:rFonts w:cs="Arial"/>
          <w:szCs w:val="20"/>
          <w:lang w:val="fr-FR"/>
        </w:rPr>
        <w:tab/>
      </w:r>
    </w:p>
    <w:p w:rsidR="00783E00" w:rsidRPr="00B11F34" w:rsidRDefault="00783E00" w:rsidP="00783E00">
      <w:pPr>
        <w:numPr>
          <w:ilvl w:val="2"/>
          <w:numId w:val="2"/>
        </w:numPr>
        <w:rPr>
          <w:rFonts w:cs="Arial"/>
          <w:szCs w:val="20"/>
          <w:lang w:val="fr-FR"/>
        </w:rPr>
      </w:pPr>
      <w:r w:rsidRPr="00B11F34">
        <w:rPr>
          <w:rFonts w:cs="Arial"/>
          <w:szCs w:val="20"/>
          <w:lang w:val="fr-FR"/>
        </w:rPr>
        <w:t xml:space="preserve">au niveau du projet  </w:t>
      </w:r>
    </w:p>
    <w:p w:rsidR="00783E00" w:rsidRPr="00B11F34" w:rsidRDefault="00783E00" w:rsidP="00783E00">
      <w:pPr>
        <w:numPr>
          <w:ilvl w:val="2"/>
          <w:numId w:val="2"/>
        </w:numPr>
        <w:rPr>
          <w:rFonts w:cs="Arial"/>
          <w:szCs w:val="20"/>
          <w:lang w:val="fr-FR"/>
        </w:rPr>
      </w:pPr>
      <w:r w:rsidRPr="00B11F34">
        <w:rPr>
          <w:rFonts w:cs="Arial"/>
          <w:szCs w:val="20"/>
          <w:lang w:val="fr-FR"/>
        </w:rPr>
        <w:t>au niveau du programme</w:t>
      </w:r>
    </w:p>
    <w:p w:rsidR="00783E00" w:rsidRPr="00B11F34" w:rsidRDefault="00783E00" w:rsidP="00783E00">
      <w:pPr>
        <w:ind w:left="360"/>
        <w:rPr>
          <w:rFonts w:cs="Arial"/>
          <w:szCs w:val="20"/>
          <w:u w:val="single"/>
          <w:lang w:val="fr-FR"/>
        </w:rPr>
      </w:pPr>
    </w:p>
    <w:p w:rsidR="00783E00" w:rsidRPr="00B11F34" w:rsidRDefault="00783E00" w:rsidP="00783E00">
      <w:pPr>
        <w:ind w:left="360"/>
        <w:rPr>
          <w:rFonts w:cs="Arial"/>
          <w:szCs w:val="20"/>
          <w:u w:val="single"/>
          <w:lang w:val="fr-FR"/>
        </w:rPr>
      </w:pPr>
    </w:p>
    <w:p w:rsidR="00783E00" w:rsidRPr="00B11F34" w:rsidRDefault="00783E00" w:rsidP="00783E00">
      <w:pPr>
        <w:numPr>
          <w:ilvl w:val="0"/>
          <w:numId w:val="1"/>
        </w:numPr>
        <w:rPr>
          <w:rFonts w:cs="Arial"/>
          <w:szCs w:val="20"/>
          <w:lang w:val="fr-FR"/>
        </w:rPr>
      </w:pPr>
      <w:r w:rsidRPr="00B11F34">
        <w:rPr>
          <w:rFonts w:cs="Arial"/>
          <w:b/>
          <w:szCs w:val="20"/>
          <w:u w:val="single"/>
          <w:lang w:val="fr-FR"/>
        </w:rPr>
        <w:t>Etat d’avancement du projet</w:t>
      </w:r>
    </w:p>
    <w:p w:rsidR="00783E00" w:rsidRPr="00B11F34" w:rsidRDefault="00783E00" w:rsidP="00783E00">
      <w:pPr>
        <w:jc w:val="both"/>
        <w:rPr>
          <w:rFonts w:cs="Arial"/>
          <w:i/>
          <w:szCs w:val="20"/>
          <w:lang w:val="fr-FR"/>
        </w:rPr>
      </w:pPr>
      <w:r w:rsidRPr="00B11F34">
        <w:rPr>
          <w:rFonts w:cs="Arial"/>
          <w:i/>
          <w:szCs w:val="20"/>
          <w:lang w:val="fr-FR"/>
        </w:rPr>
        <w:lastRenderedPageBreak/>
        <w:t xml:space="preserve">L’état d’avancement du projet est rapporté par </w:t>
      </w:r>
      <w:proofErr w:type="spellStart"/>
      <w:r w:rsidRPr="00B11F34">
        <w:rPr>
          <w:rFonts w:cs="Arial"/>
          <w:b/>
          <w:i/>
          <w:szCs w:val="20"/>
          <w:lang w:val="fr-FR"/>
        </w:rPr>
        <w:t>Outcome</w:t>
      </w:r>
      <w:proofErr w:type="spellEnd"/>
      <w:r w:rsidRPr="00B11F34">
        <w:rPr>
          <w:rFonts w:cs="Arial"/>
          <w:b/>
          <w:i/>
          <w:szCs w:val="20"/>
          <w:lang w:val="fr-FR"/>
        </w:rPr>
        <w:t xml:space="preserve"> </w:t>
      </w:r>
      <w:r w:rsidRPr="00B11F34">
        <w:rPr>
          <w:rFonts w:cs="Arial"/>
          <w:i/>
          <w:szCs w:val="20"/>
          <w:lang w:val="fr-FR"/>
        </w:rPr>
        <w:t xml:space="preserve">en mentionnant les </w:t>
      </w:r>
      <w:r w:rsidRPr="00B11F34">
        <w:rPr>
          <w:rFonts w:cs="Arial"/>
          <w:i/>
          <w:szCs w:val="20"/>
          <w:u w:val="single"/>
          <w:lang w:val="fr-FR"/>
        </w:rPr>
        <w:t>réalisations par rapport aux différents outputs planifiés</w:t>
      </w:r>
      <w:r w:rsidRPr="00B11F34">
        <w:rPr>
          <w:rFonts w:cs="Arial"/>
          <w:i/>
          <w:szCs w:val="20"/>
          <w:lang w:val="fr-FR"/>
        </w:rPr>
        <w:t xml:space="preserve">, les </w:t>
      </w:r>
      <w:r w:rsidRPr="00B11F34">
        <w:rPr>
          <w:rFonts w:cs="Arial"/>
          <w:i/>
          <w:szCs w:val="20"/>
          <w:u w:val="single"/>
          <w:lang w:val="fr-FR"/>
        </w:rPr>
        <w:t>écarts</w:t>
      </w:r>
      <w:r w:rsidRPr="00B11F34">
        <w:rPr>
          <w:rFonts w:cs="Arial"/>
          <w:i/>
          <w:szCs w:val="20"/>
          <w:lang w:val="fr-FR"/>
        </w:rPr>
        <w:t xml:space="preserve"> entre outputs planifiés et réalisés et les </w:t>
      </w:r>
      <w:r w:rsidRPr="00B11F34">
        <w:rPr>
          <w:rFonts w:cs="Arial"/>
          <w:i/>
          <w:szCs w:val="20"/>
          <w:u w:val="single"/>
          <w:lang w:val="fr-FR"/>
        </w:rPr>
        <w:t>stratégies pour la suite du projet</w:t>
      </w:r>
      <w:r w:rsidRPr="00B11F34">
        <w:rPr>
          <w:rFonts w:cs="Arial"/>
          <w:i/>
          <w:szCs w:val="20"/>
          <w:lang w:val="fr-FR"/>
        </w:rPr>
        <w:t xml:space="preserve">. </w:t>
      </w:r>
    </w:p>
    <w:p w:rsidR="00783E00" w:rsidRPr="00B11F34" w:rsidRDefault="00783E00" w:rsidP="00783E00">
      <w:pPr>
        <w:jc w:val="both"/>
        <w:rPr>
          <w:rFonts w:cs="Arial"/>
          <w:i/>
          <w:szCs w:val="20"/>
          <w:lang w:val="fr-FR"/>
        </w:rPr>
      </w:pPr>
      <w:r w:rsidRPr="00B11F34">
        <w:rPr>
          <w:rFonts w:cs="Arial"/>
          <w:i/>
          <w:szCs w:val="20"/>
          <w:lang w:val="fr-FR"/>
        </w:rPr>
        <w:t xml:space="preserve">Cette partie fait mention du </w:t>
      </w:r>
      <w:r w:rsidRPr="00B11F34">
        <w:rPr>
          <w:rFonts w:cs="Arial"/>
          <w:i/>
          <w:szCs w:val="20"/>
          <w:u w:val="single"/>
          <w:lang w:val="fr-FR"/>
        </w:rPr>
        <w:t>budget</w:t>
      </w:r>
      <w:r w:rsidRPr="00B11F34">
        <w:rPr>
          <w:rFonts w:cs="Arial"/>
          <w:i/>
          <w:szCs w:val="20"/>
          <w:lang w:val="fr-FR"/>
        </w:rPr>
        <w:t xml:space="preserve"> prévu et les dépenses réalisées, explique les éventuels écarts entre ceux-ci et les réajustements pour l’année suivante. Elle accorde une attention particulière aux </w:t>
      </w:r>
      <w:r w:rsidRPr="00B11F34">
        <w:rPr>
          <w:rFonts w:cs="Arial"/>
          <w:i/>
          <w:szCs w:val="20"/>
          <w:u w:val="single"/>
          <w:lang w:val="fr-FR"/>
        </w:rPr>
        <w:t>bénéfices pour les groupes cibles</w:t>
      </w:r>
      <w:r w:rsidRPr="00B11F34">
        <w:rPr>
          <w:rFonts w:cs="Arial"/>
          <w:i/>
          <w:szCs w:val="20"/>
          <w:lang w:val="fr-FR"/>
        </w:rPr>
        <w:t>.</w:t>
      </w:r>
    </w:p>
    <w:p w:rsidR="00783E00" w:rsidRPr="00B11F34" w:rsidRDefault="00783E00" w:rsidP="00783E00">
      <w:pPr>
        <w:jc w:val="both"/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jc w:val="both"/>
        <w:rPr>
          <w:rFonts w:cs="Arial"/>
          <w:szCs w:val="20"/>
          <w:lang w:val="fr-FR"/>
        </w:rPr>
      </w:pPr>
      <w:r w:rsidRPr="00361E4E">
        <w:rPr>
          <w:rFonts w:cs="Arial"/>
          <w:i/>
          <w:szCs w:val="20"/>
          <w:u w:val="single"/>
          <w:lang w:val="fr-FR"/>
        </w:rPr>
        <w:t>Schéma de présentation</w:t>
      </w:r>
      <w:r>
        <w:rPr>
          <w:rFonts w:cs="Arial"/>
          <w:i/>
          <w:szCs w:val="20"/>
          <w:u w:val="single"/>
          <w:lang w:val="fr-FR"/>
        </w:rPr>
        <w:t xml:space="preserve"> : </w:t>
      </w:r>
    </w:p>
    <w:p w:rsidR="00783E00" w:rsidRPr="00361E4E" w:rsidRDefault="00783E00" w:rsidP="00783E00">
      <w:pPr>
        <w:rPr>
          <w:rFonts w:cs="Arial"/>
          <w:szCs w:val="20"/>
          <w:lang w:val="fr-FR"/>
        </w:rPr>
      </w:pPr>
      <w:proofErr w:type="spellStart"/>
      <w:r w:rsidRPr="00361E4E">
        <w:rPr>
          <w:rFonts w:cs="Arial"/>
          <w:szCs w:val="20"/>
          <w:lang w:val="fr-FR"/>
        </w:rPr>
        <w:t>Outcome</w:t>
      </w:r>
      <w:proofErr w:type="spellEnd"/>
      <w:r w:rsidRPr="00361E4E">
        <w:rPr>
          <w:rFonts w:cs="Arial"/>
          <w:szCs w:val="20"/>
          <w:lang w:val="fr-FR"/>
        </w:rPr>
        <w:t xml:space="preserve"> 1 : </w:t>
      </w:r>
      <w:r w:rsidRPr="00361E4E">
        <w:rPr>
          <w:rFonts w:cs="Arial"/>
          <w:szCs w:val="20"/>
          <w:lang w:val="fr-FR"/>
        </w:rPr>
        <w:tab/>
      </w:r>
    </w:p>
    <w:p w:rsidR="00783E00" w:rsidRPr="00361E4E" w:rsidRDefault="00783E00" w:rsidP="00783E00">
      <w:pPr>
        <w:numPr>
          <w:ilvl w:val="0"/>
          <w:numId w:val="4"/>
        </w:numPr>
        <w:rPr>
          <w:rFonts w:cs="Arial"/>
          <w:i/>
          <w:szCs w:val="20"/>
          <w:lang w:val="fr-FR"/>
        </w:rPr>
      </w:pPr>
      <w:r w:rsidRPr="00361E4E">
        <w:rPr>
          <w:rFonts w:cs="Arial"/>
          <w:szCs w:val="20"/>
          <w:lang w:val="fr-FR"/>
        </w:rPr>
        <w:t xml:space="preserve">Output 1.1 : </w:t>
      </w:r>
    </w:p>
    <w:p w:rsidR="00783E00" w:rsidRPr="00361E4E" w:rsidRDefault="00783E00" w:rsidP="00783E00">
      <w:pPr>
        <w:numPr>
          <w:ilvl w:val="1"/>
          <w:numId w:val="3"/>
        </w:numPr>
        <w:rPr>
          <w:rFonts w:cs="Arial"/>
          <w:szCs w:val="20"/>
          <w:lang w:val="fr-FR"/>
        </w:rPr>
      </w:pPr>
      <w:r w:rsidRPr="00361E4E">
        <w:rPr>
          <w:rFonts w:cs="Arial"/>
          <w:szCs w:val="20"/>
          <w:lang w:val="fr-FR"/>
        </w:rPr>
        <w:t>Réalisations :</w:t>
      </w:r>
    </w:p>
    <w:p w:rsidR="00783E00" w:rsidRPr="00361E4E" w:rsidRDefault="00783E00" w:rsidP="00783E00">
      <w:pPr>
        <w:numPr>
          <w:ilvl w:val="1"/>
          <w:numId w:val="3"/>
        </w:numPr>
        <w:rPr>
          <w:rFonts w:cs="Arial"/>
          <w:szCs w:val="20"/>
          <w:lang w:val="fr-FR"/>
        </w:rPr>
      </w:pPr>
      <w:r w:rsidRPr="00361E4E">
        <w:rPr>
          <w:rFonts w:cs="Arial"/>
          <w:szCs w:val="20"/>
          <w:lang w:val="fr-FR"/>
        </w:rPr>
        <w:t xml:space="preserve">Explication des écarts entre outputs planifiés et réalisés </w:t>
      </w:r>
      <w:r w:rsidRPr="00361E4E">
        <w:rPr>
          <w:rFonts w:cs="Arial"/>
          <w:i/>
          <w:szCs w:val="20"/>
          <w:lang w:val="fr-FR"/>
        </w:rPr>
        <w:t>(problèmes rencontrés/ opportunités,  adaptations stratégiques, …)</w:t>
      </w:r>
    </w:p>
    <w:p w:rsidR="00783E00" w:rsidRPr="00361E4E" w:rsidRDefault="00783E00" w:rsidP="00783E00">
      <w:pPr>
        <w:numPr>
          <w:ilvl w:val="1"/>
          <w:numId w:val="3"/>
        </w:numPr>
        <w:rPr>
          <w:rFonts w:cs="Arial"/>
          <w:szCs w:val="20"/>
          <w:lang w:val="fr-FR"/>
        </w:rPr>
      </w:pPr>
      <w:r w:rsidRPr="00361E4E">
        <w:rPr>
          <w:rFonts w:cs="Arial"/>
          <w:szCs w:val="20"/>
          <w:lang w:val="fr-FR"/>
        </w:rPr>
        <w:t>Stratégie pour la suite du projet</w:t>
      </w:r>
    </w:p>
    <w:p w:rsidR="00783E00" w:rsidRPr="00361E4E" w:rsidRDefault="00783E00" w:rsidP="00783E00">
      <w:pPr>
        <w:numPr>
          <w:ilvl w:val="0"/>
          <w:numId w:val="5"/>
        </w:numPr>
        <w:rPr>
          <w:rFonts w:cs="Arial"/>
          <w:szCs w:val="20"/>
          <w:lang w:val="fr-FR"/>
        </w:rPr>
      </w:pPr>
      <w:r w:rsidRPr="00361E4E">
        <w:rPr>
          <w:rFonts w:cs="Arial"/>
          <w:szCs w:val="20"/>
          <w:lang w:val="fr-FR"/>
        </w:rPr>
        <w:t>Output 1.2 : idem</w:t>
      </w:r>
    </w:p>
    <w:p w:rsidR="00783E00" w:rsidRPr="00361E4E" w:rsidRDefault="00783E00" w:rsidP="00783E00">
      <w:pPr>
        <w:numPr>
          <w:ilvl w:val="0"/>
          <w:numId w:val="6"/>
        </w:numPr>
        <w:rPr>
          <w:rFonts w:cs="Arial"/>
          <w:szCs w:val="20"/>
          <w:lang w:val="fr-FR"/>
        </w:rPr>
      </w:pPr>
      <w:r w:rsidRPr="00361E4E">
        <w:rPr>
          <w:rFonts w:cs="Arial"/>
          <w:szCs w:val="20"/>
          <w:lang w:val="fr-FR"/>
        </w:rPr>
        <w:t>Output 1.3…</w:t>
      </w:r>
    </w:p>
    <w:p w:rsidR="00783E00" w:rsidRDefault="00783E00" w:rsidP="00783E00">
      <w:pPr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rPr>
          <w:rFonts w:cs="Arial"/>
          <w:szCs w:val="20"/>
          <w:lang w:val="fr-FR"/>
        </w:rPr>
      </w:pPr>
      <w:r w:rsidRPr="00B11F34">
        <w:rPr>
          <w:rFonts w:cs="Arial"/>
          <w:b/>
          <w:szCs w:val="20"/>
          <w:lang w:val="fr-FR"/>
        </w:rPr>
        <w:t xml:space="preserve">Budget : </w:t>
      </w:r>
      <w:r w:rsidRPr="00B11F34">
        <w:rPr>
          <w:rFonts w:cs="Arial"/>
          <w:szCs w:val="20"/>
          <w:lang w:val="fr-FR"/>
        </w:rPr>
        <w:t>budget prévu et dépenses réalisées</w:t>
      </w:r>
      <w:r w:rsidRPr="00B11F34">
        <w:rPr>
          <w:rFonts w:cs="Arial"/>
          <w:b/>
          <w:szCs w:val="20"/>
          <w:lang w:val="fr-FR"/>
        </w:rPr>
        <w:t xml:space="preserve">  </w:t>
      </w:r>
      <w:r w:rsidRPr="00B11F34">
        <w:rPr>
          <w:rFonts w:cs="Arial"/>
          <w:szCs w:val="20"/>
          <w:lang w:val="fr-FR"/>
        </w:rPr>
        <w:t xml:space="preserve"> </w:t>
      </w:r>
    </w:p>
    <w:p w:rsidR="00783E00" w:rsidRPr="00361E4E" w:rsidRDefault="00783E00" w:rsidP="00783E00">
      <w:pPr>
        <w:numPr>
          <w:ilvl w:val="0"/>
          <w:numId w:val="6"/>
        </w:numPr>
        <w:rPr>
          <w:rFonts w:cs="Arial"/>
          <w:szCs w:val="20"/>
          <w:lang w:val="fr-FR"/>
        </w:rPr>
      </w:pPr>
      <w:r w:rsidRPr="00361E4E">
        <w:rPr>
          <w:rFonts w:cs="Arial"/>
          <w:szCs w:val="20"/>
          <w:lang w:val="fr-FR"/>
        </w:rPr>
        <w:t xml:space="preserve">Justification  des écarts </w:t>
      </w:r>
    </w:p>
    <w:p w:rsidR="00783E00" w:rsidRPr="00361E4E" w:rsidRDefault="00783E00" w:rsidP="00783E00">
      <w:pPr>
        <w:numPr>
          <w:ilvl w:val="0"/>
          <w:numId w:val="6"/>
        </w:numPr>
        <w:rPr>
          <w:rFonts w:cs="Arial"/>
          <w:szCs w:val="20"/>
          <w:lang w:val="fr-FR"/>
        </w:rPr>
      </w:pPr>
      <w:r w:rsidRPr="00361E4E">
        <w:rPr>
          <w:rFonts w:cs="Arial"/>
          <w:szCs w:val="20"/>
          <w:lang w:val="fr-FR"/>
        </w:rPr>
        <w:t xml:space="preserve">Réajustements budgétaires éventuels prévus pour l’année suivante </w:t>
      </w:r>
      <w:r w:rsidRPr="00361E4E">
        <w:rPr>
          <w:rFonts w:cs="Arial"/>
          <w:i/>
          <w:szCs w:val="20"/>
          <w:lang w:val="fr-FR"/>
        </w:rPr>
        <w:t>(figureront également dans le plan d’action annuel dûment budgétisé)</w:t>
      </w:r>
      <w:r w:rsidRPr="00361E4E">
        <w:rPr>
          <w:rFonts w:cs="Arial"/>
          <w:szCs w:val="20"/>
          <w:lang w:val="fr-FR"/>
        </w:rPr>
        <w:t>.</w:t>
      </w:r>
    </w:p>
    <w:p w:rsidR="00783E00" w:rsidRPr="00B11F34" w:rsidRDefault="00783E00" w:rsidP="00783E00">
      <w:pPr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rPr>
          <w:rFonts w:cs="Arial"/>
          <w:b/>
          <w:szCs w:val="20"/>
          <w:lang w:val="fr-FR"/>
        </w:rPr>
      </w:pPr>
      <w:r w:rsidRPr="00B11F34">
        <w:rPr>
          <w:rFonts w:cs="Arial"/>
          <w:b/>
          <w:szCs w:val="20"/>
          <w:lang w:val="fr-FR"/>
        </w:rPr>
        <w:t xml:space="preserve">Les bénéfices pour les groupes cibles : </w:t>
      </w:r>
    </w:p>
    <w:p w:rsidR="00783E00" w:rsidRPr="00B11F34" w:rsidRDefault="00783E00" w:rsidP="00783E00">
      <w:pPr>
        <w:rPr>
          <w:rFonts w:cs="Arial"/>
          <w:szCs w:val="20"/>
          <w:lang w:val="fr-FR"/>
        </w:rPr>
      </w:pPr>
    </w:p>
    <w:p w:rsidR="00783E00" w:rsidRPr="00361E4E" w:rsidRDefault="00783E00" w:rsidP="00783E00">
      <w:pPr>
        <w:rPr>
          <w:rFonts w:cs="Arial"/>
          <w:szCs w:val="20"/>
          <w:lang w:val="fr-FR"/>
        </w:rPr>
      </w:pPr>
      <w:proofErr w:type="spellStart"/>
      <w:r w:rsidRPr="00361E4E">
        <w:rPr>
          <w:rFonts w:cs="Arial"/>
          <w:szCs w:val="20"/>
          <w:lang w:val="fr-FR"/>
        </w:rPr>
        <w:t>Outcome</w:t>
      </w:r>
      <w:proofErr w:type="spellEnd"/>
      <w:r w:rsidRPr="00361E4E">
        <w:rPr>
          <w:rFonts w:cs="Arial"/>
          <w:szCs w:val="20"/>
          <w:lang w:val="fr-FR"/>
        </w:rPr>
        <w:t xml:space="preserve"> 2 : </w:t>
      </w:r>
      <w:r w:rsidRPr="00361E4E">
        <w:rPr>
          <w:rFonts w:cs="Arial"/>
          <w:szCs w:val="20"/>
          <w:lang w:val="fr-FR"/>
        </w:rPr>
        <w:tab/>
      </w:r>
    </w:p>
    <w:p w:rsidR="00783E00" w:rsidRPr="00361E4E" w:rsidRDefault="00783E00" w:rsidP="00783E00">
      <w:pPr>
        <w:numPr>
          <w:ilvl w:val="0"/>
          <w:numId w:val="4"/>
        </w:numPr>
        <w:rPr>
          <w:rFonts w:cs="Arial"/>
          <w:i/>
          <w:szCs w:val="20"/>
          <w:lang w:val="fr-FR"/>
        </w:rPr>
      </w:pPr>
      <w:r w:rsidRPr="00361E4E">
        <w:rPr>
          <w:rFonts w:cs="Arial"/>
          <w:szCs w:val="20"/>
          <w:lang w:val="fr-FR"/>
        </w:rPr>
        <w:t xml:space="preserve">Output 2.1 : </w:t>
      </w:r>
    </w:p>
    <w:p w:rsidR="00783E00" w:rsidRPr="00361E4E" w:rsidRDefault="00783E00" w:rsidP="00783E00">
      <w:pPr>
        <w:numPr>
          <w:ilvl w:val="1"/>
          <w:numId w:val="3"/>
        </w:numPr>
        <w:rPr>
          <w:rFonts w:cs="Arial"/>
          <w:szCs w:val="20"/>
          <w:lang w:val="fr-FR"/>
        </w:rPr>
      </w:pPr>
      <w:r w:rsidRPr="00361E4E">
        <w:rPr>
          <w:rFonts w:cs="Arial"/>
          <w:szCs w:val="20"/>
          <w:lang w:val="fr-FR"/>
        </w:rPr>
        <w:t>Réalisations :</w:t>
      </w:r>
    </w:p>
    <w:p w:rsidR="00783E00" w:rsidRPr="00361E4E" w:rsidRDefault="00783E00" w:rsidP="00783E00">
      <w:pPr>
        <w:numPr>
          <w:ilvl w:val="1"/>
          <w:numId w:val="3"/>
        </w:numPr>
        <w:rPr>
          <w:rFonts w:cs="Arial"/>
          <w:szCs w:val="20"/>
          <w:lang w:val="fr-FR"/>
        </w:rPr>
      </w:pPr>
      <w:r w:rsidRPr="00361E4E">
        <w:rPr>
          <w:rFonts w:cs="Arial"/>
          <w:szCs w:val="20"/>
          <w:lang w:val="fr-FR"/>
        </w:rPr>
        <w:t xml:space="preserve">Explication des écarts entre outputs planifiés et réalisés </w:t>
      </w:r>
      <w:r w:rsidRPr="00361E4E">
        <w:rPr>
          <w:rFonts w:cs="Arial"/>
          <w:i/>
          <w:szCs w:val="20"/>
          <w:lang w:val="fr-FR"/>
        </w:rPr>
        <w:t>(problèmes rencontrés/ opportunités,  adaptations stratégiques, …)</w:t>
      </w:r>
    </w:p>
    <w:p w:rsidR="00783E00" w:rsidRPr="00361E4E" w:rsidRDefault="00783E00" w:rsidP="00783E00">
      <w:pPr>
        <w:numPr>
          <w:ilvl w:val="1"/>
          <w:numId w:val="3"/>
        </w:numPr>
        <w:rPr>
          <w:rFonts w:cs="Arial"/>
          <w:szCs w:val="20"/>
          <w:lang w:val="fr-FR"/>
        </w:rPr>
      </w:pPr>
      <w:r w:rsidRPr="00361E4E">
        <w:rPr>
          <w:rFonts w:cs="Arial"/>
          <w:szCs w:val="20"/>
          <w:lang w:val="fr-FR"/>
        </w:rPr>
        <w:t>Stratégie pour la suite du projet</w:t>
      </w:r>
    </w:p>
    <w:p w:rsidR="00783E00" w:rsidRPr="00361E4E" w:rsidRDefault="00783E00" w:rsidP="00783E00">
      <w:pPr>
        <w:numPr>
          <w:ilvl w:val="0"/>
          <w:numId w:val="5"/>
        </w:numPr>
        <w:rPr>
          <w:rFonts w:cs="Arial"/>
          <w:szCs w:val="20"/>
          <w:lang w:val="fr-FR"/>
        </w:rPr>
      </w:pPr>
      <w:r w:rsidRPr="00361E4E">
        <w:rPr>
          <w:rFonts w:cs="Arial"/>
          <w:szCs w:val="20"/>
          <w:lang w:val="fr-FR"/>
        </w:rPr>
        <w:t>Output 2.2 : idem</w:t>
      </w:r>
    </w:p>
    <w:p w:rsidR="00783E00" w:rsidRPr="00260425" w:rsidRDefault="00783E00" w:rsidP="00783E00">
      <w:pPr>
        <w:ind w:left="567" w:hanging="567"/>
      </w:pPr>
      <w:r w:rsidRPr="00361E4E">
        <w:t>Output 2.3</w:t>
      </w:r>
    </w:p>
    <w:p w:rsidR="00783E00" w:rsidRDefault="00783E00" w:rsidP="00783E00">
      <w:pPr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numPr>
          <w:ilvl w:val="0"/>
          <w:numId w:val="1"/>
        </w:numPr>
        <w:rPr>
          <w:rFonts w:cs="Arial"/>
          <w:szCs w:val="20"/>
          <w:lang w:val="fr-FR"/>
        </w:rPr>
      </w:pPr>
      <w:r w:rsidRPr="00B11F34">
        <w:rPr>
          <w:rFonts w:cs="Arial"/>
          <w:b/>
          <w:szCs w:val="20"/>
          <w:u w:val="single"/>
          <w:lang w:val="fr-FR"/>
        </w:rPr>
        <w:t>Thèmes transversaux </w:t>
      </w:r>
      <w:r w:rsidRPr="00B11F34">
        <w:rPr>
          <w:rFonts w:cs="Arial"/>
          <w:szCs w:val="20"/>
          <w:lang w:val="fr-FR"/>
        </w:rPr>
        <w:t>: genre et environnement : réalisations et effets</w:t>
      </w:r>
    </w:p>
    <w:p w:rsidR="00783E00" w:rsidRDefault="00783E00" w:rsidP="00783E00">
      <w:pPr>
        <w:rPr>
          <w:rFonts w:cs="Arial"/>
          <w:b/>
          <w:szCs w:val="20"/>
          <w:u w:val="single"/>
          <w:lang w:val="fr-FR"/>
        </w:rPr>
      </w:pPr>
    </w:p>
    <w:p w:rsidR="00783E00" w:rsidRDefault="00783E00" w:rsidP="00783E00">
      <w:pPr>
        <w:rPr>
          <w:rFonts w:cs="Arial"/>
          <w:szCs w:val="20"/>
          <w:lang w:val="fr-FR"/>
        </w:rPr>
      </w:pPr>
    </w:p>
    <w:p w:rsidR="00783E00" w:rsidRDefault="00783E00" w:rsidP="00783E00">
      <w:pPr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numPr>
          <w:ilvl w:val="0"/>
          <w:numId w:val="1"/>
        </w:numPr>
        <w:rPr>
          <w:rFonts w:cs="Arial"/>
          <w:szCs w:val="20"/>
          <w:lang w:val="fr-FR"/>
        </w:rPr>
      </w:pPr>
      <w:r w:rsidRPr="00B11F34">
        <w:rPr>
          <w:rFonts w:cs="Arial"/>
          <w:b/>
          <w:szCs w:val="20"/>
          <w:u w:val="single"/>
          <w:lang w:val="fr-FR"/>
        </w:rPr>
        <w:t>Matrice de gestion des risques (internes et externes)</w:t>
      </w:r>
    </w:p>
    <w:p w:rsidR="00783E00" w:rsidRPr="00366652" w:rsidRDefault="00783E00" w:rsidP="00783E00">
      <w:pPr>
        <w:widowControl w:val="0"/>
        <w:rPr>
          <w:rFonts w:cs="Arial"/>
          <w:i/>
          <w:sz w:val="18"/>
          <w:szCs w:val="18"/>
          <w:lang w:val="fr-FR"/>
        </w:rPr>
      </w:pPr>
      <w:r w:rsidRPr="00366652">
        <w:rPr>
          <w:rFonts w:cs="Arial"/>
          <w:i/>
          <w:sz w:val="18"/>
          <w:szCs w:val="18"/>
          <w:lang w:val="fr-FR"/>
        </w:rPr>
        <w:t xml:space="preserve">Sous ce point, les risques apparus pendant la période de rapportage et la façon dont ils ont été gérés, sont décrits.  </w:t>
      </w:r>
    </w:p>
    <w:p w:rsidR="00783E00" w:rsidRPr="00B11F34" w:rsidRDefault="00783E00" w:rsidP="00783E00">
      <w:pPr>
        <w:rPr>
          <w:rFonts w:cs="Arial"/>
          <w:szCs w:val="20"/>
          <w:lang w:val="fr-FR"/>
        </w:rPr>
      </w:pPr>
      <w:r w:rsidRPr="00366652">
        <w:rPr>
          <w:rFonts w:cs="Arial"/>
          <w:i/>
          <w:sz w:val="18"/>
          <w:szCs w:val="18"/>
          <w:lang w:val="fr-FR"/>
        </w:rPr>
        <w:lastRenderedPageBreak/>
        <w:t>La matrice de gestion des risques du dossier technique et financier est actualisée. Y sont inclues les recommandations faites et/ou décisions prises pendant la période de rapportage</w:t>
      </w:r>
      <w:r w:rsidRPr="00B11F34">
        <w:rPr>
          <w:rFonts w:cs="Arial"/>
          <w:i/>
          <w:szCs w:val="20"/>
          <w:lang w:val="fr-FR"/>
        </w:rPr>
        <w:t>.</w:t>
      </w:r>
    </w:p>
    <w:p w:rsidR="00783E00" w:rsidRPr="00B11F34" w:rsidRDefault="00783E00" w:rsidP="00783E00">
      <w:pPr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rPr>
          <w:rFonts w:cs="Arial"/>
          <w:szCs w:val="20"/>
          <w:lang w:val="fr-FR"/>
        </w:rPr>
      </w:pPr>
    </w:p>
    <w:p w:rsidR="00783E00" w:rsidRPr="00B11F34" w:rsidRDefault="00783E00" w:rsidP="00783E00">
      <w:pPr>
        <w:numPr>
          <w:ilvl w:val="0"/>
          <w:numId w:val="1"/>
        </w:numPr>
        <w:rPr>
          <w:rFonts w:cs="Arial"/>
          <w:b/>
          <w:szCs w:val="20"/>
          <w:u w:val="single"/>
          <w:lang w:val="fr-FR"/>
        </w:rPr>
      </w:pPr>
      <w:r w:rsidRPr="00B11F34">
        <w:rPr>
          <w:rFonts w:cs="Arial"/>
          <w:b/>
          <w:szCs w:val="20"/>
          <w:u w:val="single"/>
          <w:lang w:val="fr-FR"/>
        </w:rPr>
        <w:t>Les leçons apprises par l’organisation partenaire du Fonds et ses  partenaires</w:t>
      </w:r>
    </w:p>
    <w:p w:rsidR="00783E00" w:rsidRPr="00366652" w:rsidRDefault="00783E00" w:rsidP="00783E00">
      <w:pPr>
        <w:tabs>
          <w:tab w:val="num" w:pos="1071"/>
        </w:tabs>
        <w:jc w:val="both"/>
        <w:rPr>
          <w:rFonts w:cs="Arial"/>
          <w:i/>
          <w:sz w:val="18"/>
          <w:szCs w:val="18"/>
          <w:lang w:val="fr-BE"/>
        </w:rPr>
      </w:pPr>
      <w:r w:rsidRPr="00366652">
        <w:rPr>
          <w:rFonts w:cs="Arial"/>
          <w:i/>
          <w:sz w:val="18"/>
          <w:szCs w:val="18"/>
          <w:lang w:val="fr-FR"/>
        </w:rPr>
        <w:t>Ici sont mentionnés les e</w:t>
      </w:r>
      <w:proofErr w:type="spellStart"/>
      <w:r w:rsidRPr="00366652">
        <w:rPr>
          <w:rFonts w:cs="Arial"/>
          <w:i/>
          <w:sz w:val="18"/>
          <w:szCs w:val="18"/>
          <w:lang w:val="fr-BE"/>
        </w:rPr>
        <w:t>nseignements</w:t>
      </w:r>
      <w:proofErr w:type="spellEnd"/>
      <w:r w:rsidRPr="00366652">
        <w:rPr>
          <w:rFonts w:cs="Arial"/>
          <w:i/>
          <w:sz w:val="18"/>
          <w:szCs w:val="18"/>
          <w:lang w:val="fr-BE"/>
        </w:rPr>
        <w:t xml:space="preserve"> intéressants tirés de l'année écoulée et entre autres d'éventuelles évaluations et est fait le suivi des observations et recommandations formulées lors de l'appréciation des différents rapports</w:t>
      </w:r>
      <w:r w:rsidRPr="00366652">
        <w:rPr>
          <w:rFonts w:cs="Arial"/>
          <w:sz w:val="18"/>
          <w:szCs w:val="18"/>
          <w:lang w:val="fr-BE"/>
        </w:rPr>
        <w:t xml:space="preserve">. </w:t>
      </w:r>
      <w:r w:rsidRPr="00366652">
        <w:rPr>
          <w:rFonts w:cs="Arial"/>
          <w:i/>
          <w:sz w:val="18"/>
          <w:szCs w:val="18"/>
          <w:lang w:val="fr-BE"/>
        </w:rPr>
        <w:t xml:space="preserve">Cette partie comprend </w:t>
      </w:r>
      <w:proofErr w:type="gramStart"/>
      <w:r w:rsidRPr="00366652">
        <w:rPr>
          <w:rFonts w:cs="Arial"/>
          <w:i/>
          <w:sz w:val="18"/>
          <w:szCs w:val="18"/>
          <w:lang w:val="fr-BE"/>
        </w:rPr>
        <w:t>les point suivants</w:t>
      </w:r>
      <w:proofErr w:type="gramEnd"/>
      <w:r w:rsidRPr="00366652">
        <w:rPr>
          <w:rFonts w:cs="Arial"/>
          <w:i/>
          <w:sz w:val="18"/>
          <w:szCs w:val="18"/>
          <w:lang w:val="fr-BE"/>
        </w:rPr>
        <w:t xml:space="preserve"> : </w:t>
      </w:r>
    </w:p>
    <w:p w:rsidR="00783E00" w:rsidRPr="00B11F34" w:rsidRDefault="00783E00" w:rsidP="00783E00">
      <w:pPr>
        <w:tabs>
          <w:tab w:val="num" w:pos="1071"/>
        </w:tabs>
        <w:ind w:left="1065"/>
        <w:jc w:val="both"/>
        <w:rPr>
          <w:rFonts w:cs="Arial"/>
          <w:szCs w:val="20"/>
          <w:lang w:val="fr-BE"/>
        </w:rPr>
      </w:pPr>
    </w:p>
    <w:p w:rsidR="00783E00" w:rsidRPr="00B11F34" w:rsidRDefault="00783E00" w:rsidP="00783E00">
      <w:pPr>
        <w:numPr>
          <w:ilvl w:val="0"/>
          <w:numId w:val="7"/>
        </w:numPr>
        <w:jc w:val="both"/>
        <w:rPr>
          <w:rFonts w:cs="Arial"/>
          <w:szCs w:val="20"/>
          <w:lang w:val="fr-BE"/>
        </w:rPr>
      </w:pPr>
      <w:r w:rsidRPr="00B11F34">
        <w:rPr>
          <w:rFonts w:cs="Arial"/>
          <w:szCs w:val="20"/>
          <w:lang w:val="fr-BE"/>
        </w:rPr>
        <w:t xml:space="preserve">aspects positifs </w:t>
      </w:r>
      <w:proofErr w:type="spellStart"/>
      <w:r w:rsidRPr="00B11F34">
        <w:rPr>
          <w:rFonts w:cs="Arial"/>
          <w:szCs w:val="20"/>
          <w:lang w:val="fr-FR"/>
        </w:rPr>
        <w:t>réplicables</w:t>
      </w:r>
      <w:proofErr w:type="spellEnd"/>
      <w:r w:rsidRPr="00B11F34">
        <w:rPr>
          <w:rFonts w:cs="Arial"/>
          <w:szCs w:val="20"/>
          <w:lang w:val="fr-BE"/>
        </w:rPr>
        <w:t> :</w:t>
      </w:r>
    </w:p>
    <w:p w:rsidR="00783E00" w:rsidRPr="00B11F34" w:rsidRDefault="00783E00" w:rsidP="00783E00">
      <w:pPr>
        <w:numPr>
          <w:ilvl w:val="0"/>
          <w:numId w:val="7"/>
        </w:numPr>
        <w:jc w:val="both"/>
        <w:rPr>
          <w:rFonts w:cs="Arial"/>
          <w:szCs w:val="20"/>
          <w:lang w:val="fr-BE"/>
        </w:rPr>
      </w:pPr>
      <w:r w:rsidRPr="00B11F34">
        <w:rPr>
          <w:rFonts w:cs="Arial"/>
          <w:szCs w:val="20"/>
          <w:lang w:val="fr-BE"/>
        </w:rPr>
        <w:t>aspects négatifs à éviter :</w:t>
      </w:r>
    </w:p>
    <w:p w:rsidR="00783E00" w:rsidRPr="00B11F34" w:rsidRDefault="00783E00" w:rsidP="00783E00">
      <w:pPr>
        <w:numPr>
          <w:ilvl w:val="0"/>
          <w:numId w:val="7"/>
        </w:numPr>
        <w:jc w:val="both"/>
        <w:rPr>
          <w:rFonts w:cs="Arial"/>
          <w:szCs w:val="20"/>
          <w:lang w:val="fr-BE"/>
        </w:rPr>
      </w:pPr>
      <w:r w:rsidRPr="00B11F34">
        <w:rPr>
          <w:rFonts w:cs="Arial"/>
          <w:szCs w:val="20"/>
          <w:lang w:val="fr-BE"/>
        </w:rPr>
        <w:t>réflexions générales sur les bonnes pratiques :</w:t>
      </w:r>
    </w:p>
    <w:p w:rsidR="00783E00" w:rsidRPr="00B11F34" w:rsidRDefault="00783E00" w:rsidP="00783E00">
      <w:pPr>
        <w:numPr>
          <w:ilvl w:val="0"/>
          <w:numId w:val="7"/>
        </w:numPr>
        <w:jc w:val="both"/>
        <w:rPr>
          <w:rFonts w:cs="Arial"/>
          <w:szCs w:val="20"/>
          <w:lang w:val="fr-BE"/>
        </w:rPr>
      </w:pPr>
      <w:r w:rsidRPr="00B11F34">
        <w:rPr>
          <w:rFonts w:cs="Arial"/>
          <w:szCs w:val="20"/>
          <w:lang w:val="fr-BE"/>
        </w:rPr>
        <w:t>partage des connaissances avec les organisations partenaires (du programme et locales) ;</w:t>
      </w:r>
    </w:p>
    <w:p w:rsidR="00783E00" w:rsidRPr="00B11F34" w:rsidRDefault="00783E00" w:rsidP="00783E00">
      <w:pPr>
        <w:numPr>
          <w:ilvl w:val="0"/>
          <w:numId w:val="7"/>
        </w:numPr>
        <w:rPr>
          <w:rFonts w:cs="Arial"/>
          <w:szCs w:val="20"/>
          <w:lang w:val="fr-BE"/>
        </w:rPr>
      </w:pPr>
      <w:r w:rsidRPr="00B11F34">
        <w:rPr>
          <w:rFonts w:cs="Arial"/>
          <w:szCs w:val="20"/>
          <w:lang w:val="fr-BE"/>
        </w:rPr>
        <w:t>pour le rapport final, expliquer l’efficacité de la stratégie de désengagement.</w:t>
      </w:r>
    </w:p>
    <w:p w:rsidR="00783E00" w:rsidRPr="00366652" w:rsidRDefault="00783E00" w:rsidP="00783E00">
      <w:pPr>
        <w:ind w:left="567"/>
        <w:rPr>
          <w:rFonts w:cs="Arial"/>
          <w:szCs w:val="20"/>
          <w:lang w:val="fr-FR"/>
        </w:rPr>
      </w:pPr>
    </w:p>
    <w:p w:rsidR="00783E00" w:rsidRPr="00366652" w:rsidRDefault="00783E00" w:rsidP="00783E00">
      <w:pPr>
        <w:ind w:left="567"/>
        <w:rPr>
          <w:rFonts w:cs="Arial"/>
          <w:szCs w:val="20"/>
          <w:lang w:val="fr-FR"/>
        </w:rPr>
      </w:pPr>
    </w:p>
    <w:p w:rsidR="00783E00" w:rsidRPr="00846CB0" w:rsidRDefault="00783E00" w:rsidP="00783E00">
      <w:pPr>
        <w:numPr>
          <w:ilvl w:val="0"/>
          <w:numId w:val="1"/>
        </w:numPr>
        <w:rPr>
          <w:rFonts w:cs="Arial"/>
          <w:b/>
          <w:sz w:val="24"/>
          <w:u w:val="single"/>
          <w:lang w:val="fr-FR"/>
        </w:rPr>
      </w:pPr>
      <w:r w:rsidRPr="00846CB0">
        <w:rPr>
          <w:rFonts w:cs="Arial"/>
          <w:b/>
          <w:sz w:val="24"/>
          <w:u w:val="single"/>
          <w:lang w:val="fr-FR"/>
        </w:rPr>
        <w:t>Plan d’action budgétisé de l’année suivante</w:t>
      </w:r>
    </w:p>
    <w:p w:rsidR="00783E00" w:rsidRPr="00366652" w:rsidRDefault="00783E00" w:rsidP="00783E00">
      <w:pPr>
        <w:rPr>
          <w:rFonts w:cs="Arial"/>
          <w:szCs w:val="20"/>
          <w:lang w:val="fr-BE"/>
        </w:rPr>
      </w:pPr>
      <w:r w:rsidRPr="00366652">
        <w:rPr>
          <w:rFonts w:cs="Arial"/>
          <w:szCs w:val="20"/>
          <w:lang w:val="fr-FR"/>
        </w:rPr>
        <w:t xml:space="preserve">Le plan d’action pour l’année suivante tient compte des principales évolutions et des </w:t>
      </w:r>
      <w:r w:rsidRPr="00366652">
        <w:rPr>
          <w:rFonts w:cs="Arial"/>
          <w:szCs w:val="20"/>
          <w:lang w:val="fr-BE"/>
        </w:rPr>
        <w:t>réorientations significatives par rapport au contexte, aux groupes cibles, aux partenaires, aux méthodes, aux synergies. Il comprend les réajustements budgétaires y afférents.</w:t>
      </w:r>
    </w:p>
    <w:p w:rsidR="00783E00" w:rsidRDefault="00783E00" w:rsidP="00783E00">
      <w:pPr>
        <w:rPr>
          <w:rFonts w:cs="Arial"/>
          <w:sz w:val="22"/>
          <w:lang w:val="fr-BE"/>
        </w:rPr>
      </w:pPr>
    </w:p>
    <w:p w:rsidR="00783E00" w:rsidRPr="00846CB0" w:rsidRDefault="00783E00" w:rsidP="00783E00">
      <w:pPr>
        <w:pStyle w:val="ListParagraph"/>
      </w:pPr>
      <w:r w:rsidRPr="00846CB0">
        <w:t>Cadre de suivi</w:t>
      </w:r>
      <w:r>
        <w:t xml:space="preserve"> </w:t>
      </w:r>
      <w:proofErr w:type="spellStart"/>
      <w:r>
        <w:t>acutalisé</w:t>
      </w:r>
      <w:proofErr w:type="spellEnd"/>
      <w:r w:rsidRPr="00846CB0">
        <w:t xml:space="preserve"> </w:t>
      </w:r>
    </w:p>
    <w:p w:rsidR="00783E00" w:rsidRPr="00666315" w:rsidRDefault="00783E00" w:rsidP="00783E00">
      <w:pPr>
        <w:rPr>
          <w:rFonts w:cs="Arial"/>
          <w:szCs w:val="20"/>
          <w:lang w:val="fr-BE"/>
        </w:rPr>
      </w:pPr>
    </w:p>
    <w:p w:rsidR="00783E00" w:rsidRPr="00846CB0" w:rsidRDefault="00783E00" w:rsidP="00783E00">
      <w:pPr>
        <w:rPr>
          <w:szCs w:val="20"/>
          <w:u w:val="single"/>
          <w:lang w:val="fr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307"/>
        <w:gridCol w:w="1771"/>
        <w:gridCol w:w="469"/>
        <w:gridCol w:w="470"/>
        <w:gridCol w:w="467"/>
        <w:gridCol w:w="467"/>
        <w:gridCol w:w="469"/>
        <w:gridCol w:w="469"/>
        <w:gridCol w:w="1750"/>
        <w:gridCol w:w="482"/>
        <w:gridCol w:w="482"/>
        <w:gridCol w:w="482"/>
        <w:gridCol w:w="482"/>
        <w:gridCol w:w="1706"/>
      </w:tblGrid>
      <w:tr w:rsidR="00783E00" w:rsidRPr="00BC1950" w:rsidTr="00C21938"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Logique d’intervention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Indicateurs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 xml:space="preserve">Valeur de référence pour chaque indicateur </w:t>
            </w:r>
          </w:p>
        </w:tc>
        <w:tc>
          <w:tcPr>
            <w:tcW w:w="288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Résultats attendus après</w:t>
            </w:r>
            <w:proofErr w:type="gramStart"/>
            <w:r w:rsidRPr="00260425">
              <w:rPr>
                <w:sz w:val="18"/>
                <w:szCs w:val="18"/>
                <w:lang w:val="fr-BE"/>
              </w:rPr>
              <w:t>..</w:t>
            </w:r>
            <w:proofErr w:type="gramEnd"/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Valeur attendue évaluation à mi-parcours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nl-NL"/>
              </w:rPr>
              <w:t>Valeur attendue après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 xml:space="preserve">Valeur attendue à la fin du </w:t>
            </w:r>
            <w:proofErr w:type="spellStart"/>
            <w:r w:rsidRPr="00260425">
              <w:rPr>
                <w:sz w:val="18"/>
                <w:szCs w:val="18"/>
                <w:lang w:val="fr-BE"/>
              </w:rPr>
              <w:t>project</w:t>
            </w:r>
            <w:proofErr w:type="spellEnd"/>
          </w:p>
        </w:tc>
      </w:tr>
      <w:tr w:rsidR="00783E00" w:rsidRPr="00EB1022" w:rsidTr="00C21938">
        <w:trPr>
          <w:trHeight w:val="296"/>
        </w:trPr>
        <w:tc>
          <w:tcPr>
            <w:tcW w:w="2034" w:type="dxa"/>
            <w:tcBorders>
              <w:bottom w:val="single" w:sz="4" w:space="0" w:color="auto"/>
            </w:tcBorders>
            <w:shd w:val="clear" w:color="auto" w:fill="D9D9D9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 xml:space="preserve">Impact 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D9D9D9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D9D9D9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2883" w:type="dxa"/>
            <w:gridSpan w:val="6"/>
            <w:tcBorders>
              <w:bottom w:val="single" w:sz="4" w:space="0" w:color="auto"/>
            </w:tcBorders>
            <w:shd w:val="diagStripe" w:color="auto" w:fill="D9D9D9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D9D9D9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shd w:val="diagStripe" w:color="auto" w:fill="D9D9D9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tcBorders>
              <w:bottom w:val="single" w:sz="4" w:space="0" w:color="auto"/>
            </w:tcBorders>
            <w:shd w:val="clear" w:color="auto" w:fill="E6E6E6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E6E6E6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E6E6E6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6"/>
                <w:szCs w:val="16"/>
                <w:lang w:val="fr-BE"/>
              </w:rPr>
            </w:pPr>
            <w:r w:rsidRPr="00260425">
              <w:rPr>
                <w:sz w:val="16"/>
                <w:szCs w:val="16"/>
                <w:lang w:val="fr-BE"/>
              </w:rPr>
              <w:t>Année 1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6"/>
                <w:szCs w:val="16"/>
                <w:lang w:val="fr-BE"/>
              </w:rPr>
            </w:pPr>
            <w:r w:rsidRPr="00260425">
              <w:rPr>
                <w:sz w:val="16"/>
                <w:szCs w:val="16"/>
                <w:lang w:val="fr-BE"/>
              </w:rPr>
              <w:t>Année 2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6"/>
                <w:szCs w:val="16"/>
                <w:lang w:val="fr-BE"/>
              </w:rPr>
            </w:pPr>
            <w:r w:rsidRPr="00260425">
              <w:rPr>
                <w:sz w:val="16"/>
                <w:szCs w:val="16"/>
                <w:lang w:val="fr-BE"/>
              </w:rPr>
              <w:t>Année 3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E6E6E6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6"/>
                <w:szCs w:val="16"/>
                <w:lang w:val="fr-BE"/>
              </w:rPr>
            </w:pPr>
            <w:r w:rsidRPr="00260425">
              <w:rPr>
                <w:sz w:val="16"/>
                <w:szCs w:val="16"/>
                <w:lang w:val="fr-BE"/>
              </w:rPr>
              <w:t>Année 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6"/>
                <w:szCs w:val="16"/>
                <w:lang w:val="fr-BE"/>
              </w:rPr>
            </w:pPr>
            <w:r w:rsidRPr="00260425">
              <w:rPr>
                <w:sz w:val="16"/>
                <w:szCs w:val="16"/>
                <w:lang w:val="fr-BE"/>
              </w:rPr>
              <w:t>Année 5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E6E6E6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proofErr w:type="spellStart"/>
            <w:r w:rsidRPr="00260425">
              <w:rPr>
                <w:sz w:val="18"/>
                <w:szCs w:val="18"/>
                <w:lang w:val="fr-BE"/>
              </w:rPr>
              <w:t>Outcome</w:t>
            </w:r>
            <w:proofErr w:type="spellEnd"/>
            <w:r w:rsidRPr="00260425">
              <w:rPr>
                <w:sz w:val="18"/>
                <w:szCs w:val="18"/>
                <w:lang w:val="fr-BE"/>
              </w:rPr>
              <w:t xml:space="preserve"> 1</w:t>
            </w:r>
          </w:p>
        </w:tc>
        <w:tc>
          <w:tcPr>
            <w:tcW w:w="2412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50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2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28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781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Output 1.1</w:t>
            </w:r>
          </w:p>
        </w:tc>
        <w:tc>
          <w:tcPr>
            <w:tcW w:w="2412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50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2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28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781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Output 1.2</w:t>
            </w:r>
          </w:p>
        </w:tc>
        <w:tc>
          <w:tcPr>
            <w:tcW w:w="2412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50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2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28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781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Output 1.3</w:t>
            </w:r>
          </w:p>
        </w:tc>
        <w:tc>
          <w:tcPr>
            <w:tcW w:w="2412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50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2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28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781" w:type="dxa"/>
            <w:shd w:val="clear" w:color="auto" w:fill="F3F3F3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Activités</w:t>
            </w:r>
          </w:p>
        </w:tc>
        <w:tc>
          <w:tcPr>
            <w:tcW w:w="241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50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28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7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Inputs</w:t>
            </w:r>
          </w:p>
        </w:tc>
        <w:tc>
          <w:tcPr>
            <w:tcW w:w="241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50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828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  <w:tc>
          <w:tcPr>
            <w:tcW w:w="17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proofErr w:type="spellStart"/>
            <w:r w:rsidRPr="00260425">
              <w:rPr>
                <w:sz w:val="18"/>
                <w:szCs w:val="18"/>
                <w:lang w:val="fr-BE"/>
              </w:rPr>
              <w:t>Outcome</w:t>
            </w:r>
            <w:proofErr w:type="spellEnd"/>
            <w:r w:rsidRPr="00260425">
              <w:rPr>
                <w:sz w:val="18"/>
                <w:szCs w:val="18"/>
                <w:lang w:val="fr-BE"/>
              </w:rPr>
              <w:t xml:space="preserve"> 2</w:t>
            </w:r>
          </w:p>
        </w:tc>
        <w:tc>
          <w:tcPr>
            <w:tcW w:w="241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850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828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7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Output 2.1</w:t>
            </w:r>
          </w:p>
        </w:tc>
        <w:tc>
          <w:tcPr>
            <w:tcW w:w="241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850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828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7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Output 2.2</w:t>
            </w:r>
          </w:p>
        </w:tc>
        <w:tc>
          <w:tcPr>
            <w:tcW w:w="241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850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828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7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lastRenderedPageBreak/>
              <w:t>Output 2.3</w:t>
            </w:r>
          </w:p>
        </w:tc>
        <w:tc>
          <w:tcPr>
            <w:tcW w:w="241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850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828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7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Activités</w:t>
            </w:r>
          </w:p>
        </w:tc>
        <w:tc>
          <w:tcPr>
            <w:tcW w:w="241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850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828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7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</w:tr>
      <w:tr w:rsidR="00783E00" w:rsidRPr="00EB1022" w:rsidTr="00C21938">
        <w:tc>
          <w:tcPr>
            <w:tcW w:w="2034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lang w:val="fr-BE"/>
              </w:rPr>
            </w:pPr>
            <w:r w:rsidRPr="00260425">
              <w:rPr>
                <w:sz w:val="18"/>
                <w:szCs w:val="18"/>
                <w:lang w:val="fr-BE"/>
              </w:rPr>
              <w:t>Inputs</w:t>
            </w:r>
          </w:p>
        </w:tc>
        <w:tc>
          <w:tcPr>
            <w:tcW w:w="241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850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2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79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828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495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  <w:tc>
          <w:tcPr>
            <w:tcW w:w="1781" w:type="dxa"/>
            <w:shd w:val="clear" w:color="auto" w:fill="auto"/>
          </w:tcPr>
          <w:p w:rsidR="00783E00" w:rsidRPr="00260425" w:rsidRDefault="00783E00" w:rsidP="00C21938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  <w:lang w:val="fr-BE"/>
              </w:rPr>
            </w:pPr>
          </w:p>
        </w:tc>
      </w:tr>
    </w:tbl>
    <w:p w:rsidR="00783E00" w:rsidRPr="00EB1022" w:rsidRDefault="00783E00" w:rsidP="00783E00">
      <w:pPr>
        <w:autoSpaceDE w:val="0"/>
        <w:autoSpaceDN w:val="0"/>
        <w:adjustRightInd w:val="0"/>
        <w:rPr>
          <w:szCs w:val="20"/>
          <w:lang w:val="fr-BE"/>
        </w:rPr>
      </w:pPr>
    </w:p>
    <w:p w:rsidR="00783E00" w:rsidRPr="00EB1022" w:rsidRDefault="00783E00" w:rsidP="00783E00">
      <w:pPr>
        <w:rPr>
          <w:szCs w:val="20"/>
          <w:u w:val="single"/>
          <w:lang w:val="nl-NL"/>
        </w:rPr>
      </w:pPr>
    </w:p>
    <w:p w:rsidR="00783E00" w:rsidRPr="003B08D9" w:rsidRDefault="00783E00" w:rsidP="00783E00">
      <w:pPr>
        <w:rPr>
          <w:rFonts w:ascii="Arial" w:hAnsi="Arial" w:cs="Arial"/>
          <w:sz w:val="22"/>
          <w:szCs w:val="22"/>
          <w:lang w:val="fr-BE"/>
        </w:rPr>
      </w:pPr>
    </w:p>
    <w:p w:rsidR="00783E00" w:rsidRPr="00783E00" w:rsidRDefault="00783E00" w:rsidP="00783E00">
      <w:bookmarkStart w:id="0" w:name="_GoBack"/>
      <w:bookmarkEnd w:id="0"/>
    </w:p>
    <w:sectPr w:rsidR="00783E00" w:rsidRPr="00783E00" w:rsidSect="00783E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DA"/>
    <w:multiLevelType w:val="hybridMultilevel"/>
    <w:tmpl w:val="553EB2BE"/>
    <w:lvl w:ilvl="0" w:tplc="7ED2CBE0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E50B5F"/>
    <w:multiLevelType w:val="hybridMultilevel"/>
    <w:tmpl w:val="DD0A62CA"/>
    <w:lvl w:ilvl="0" w:tplc="9D126CAC">
      <w:start w:val="1"/>
      <w:numFmt w:val="bullet"/>
      <w:lvlText w:val=""/>
      <w:lvlJc w:val="left"/>
      <w:pPr>
        <w:tabs>
          <w:tab w:val="num" w:pos="-170"/>
        </w:tabs>
        <w:ind w:left="454" w:hanging="227"/>
      </w:pPr>
      <w:rPr>
        <w:rFonts w:ascii="Symbol" w:hAnsi="Symbol" w:hint="default"/>
      </w:rPr>
    </w:lvl>
    <w:lvl w:ilvl="1" w:tplc="792E527C">
      <w:start w:val="1"/>
      <w:numFmt w:val="bullet"/>
      <w:lvlText w:val="-"/>
      <w:lvlJc w:val="left"/>
      <w:pPr>
        <w:tabs>
          <w:tab w:val="num" w:pos="794"/>
        </w:tabs>
        <w:ind w:left="851" w:hanging="397"/>
      </w:pPr>
      <w:rPr>
        <w:rFonts w:ascii="Arial" w:eastAsia="Webdings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C7690"/>
    <w:multiLevelType w:val="hybridMultilevel"/>
    <w:tmpl w:val="05665376"/>
    <w:lvl w:ilvl="0" w:tplc="7ED2CBE0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792E527C">
      <w:start w:val="1"/>
      <w:numFmt w:val="bullet"/>
      <w:lvlText w:val="-"/>
      <w:lvlJc w:val="left"/>
      <w:pPr>
        <w:tabs>
          <w:tab w:val="num" w:pos="794"/>
        </w:tabs>
        <w:ind w:left="851" w:hanging="397"/>
      </w:pPr>
      <w:rPr>
        <w:rFonts w:ascii="Arial" w:eastAsia="Webdings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756917"/>
    <w:multiLevelType w:val="hybridMultilevel"/>
    <w:tmpl w:val="A5E60B76"/>
    <w:lvl w:ilvl="0" w:tplc="9CEEBD2E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182562"/>
    <w:multiLevelType w:val="hybridMultilevel"/>
    <w:tmpl w:val="2B6E74EE"/>
    <w:lvl w:ilvl="0" w:tplc="2D92C80A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792E527C">
      <w:start w:val="1"/>
      <w:numFmt w:val="bullet"/>
      <w:lvlText w:val="-"/>
      <w:lvlJc w:val="left"/>
      <w:pPr>
        <w:tabs>
          <w:tab w:val="num" w:pos="794"/>
        </w:tabs>
        <w:ind w:left="851" w:hanging="397"/>
      </w:pPr>
      <w:rPr>
        <w:rFonts w:ascii="Arial" w:eastAsia="Webdings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B7A72"/>
    <w:multiLevelType w:val="hybridMultilevel"/>
    <w:tmpl w:val="42D440E2"/>
    <w:lvl w:ilvl="0" w:tplc="9CEEBD2E">
      <w:start w:val="1"/>
      <w:numFmt w:val="bullet"/>
      <w:lvlText w:val=""/>
      <w:lvlJc w:val="left"/>
      <w:pPr>
        <w:tabs>
          <w:tab w:val="num" w:pos="227"/>
        </w:tabs>
        <w:ind w:left="454" w:hanging="227"/>
      </w:pPr>
      <w:rPr>
        <w:rFonts w:ascii="Symbol" w:hAnsi="Symbol" w:hint="default"/>
      </w:rPr>
    </w:lvl>
    <w:lvl w:ilvl="1" w:tplc="792E527C">
      <w:start w:val="1"/>
      <w:numFmt w:val="bullet"/>
      <w:lvlText w:val="-"/>
      <w:lvlJc w:val="left"/>
      <w:pPr>
        <w:tabs>
          <w:tab w:val="num" w:pos="794"/>
        </w:tabs>
        <w:ind w:left="851" w:hanging="397"/>
      </w:pPr>
      <w:rPr>
        <w:rFonts w:ascii="Arial" w:eastAsia="Webdings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DF6A93"/>
    <w:multiLevelType w:val="multilevel"/>
    <w:tmpl w:val="FED83C04"/>
    <w:lvl w:ilvl="0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cs="Times New Roman" w:hint="default"/>
        <w:b/>
        <w:color w:val="auto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00"/>
    <w:rsid w:val="00783E00"/>
    <w:rsid w:val="0091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783E0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783E00"/>
    <w:pPr>
      <w:jc w:val="both"/>
    </w:pPr>
    <w:rPr>
      <w:rFonts w:cs="Arial"/>
      <w:b/>
      <w:kern w:val="28"/>
      <w:sz w:val="24"/>
      <w:szCs w:val="22"/>
      <w:u w:val="single"/>
      <w:lang w:val="fr-FR" w:eastAsia="nl-NL"/>
    </w:rPr>
  </w:style>
  <w:style w:type="paragraph" w:styleId="Title">
    <w:name w:val="Title"/>
    <w:basedOn w:val="Normal"/>
    <w:next w:val="Normal"/>
    <w:link w:val="TitleChar"/>
    <w:qFormat/>
    <w:rsid w:val="00783E00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83E00"/>
    <w:rPr>
      <w:rFonts w:ascii="Verdana" w:eastAsia="Times New Roman" w:hAnsi="Verdana" w:cs="Times New Roman"/>
      <w:b/>
      <w:bCs/>
      <w:kern w:val="28"/>
      <w:sz w:val="32"/>
      <w:szCs w:val="32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783E00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783E00"/>
    <w:pPr>
      <w:jc w:val="both"/>
    </w:pPr>
    <w:rPr>
      <w:rFonts w:cs="Arial"/>
      <w:b/>
      <w:kern w:val="28"/>
      <w:sz w:val="24"/>
      <w:szCs w:val="22"/>
      <w:u w:val="single"/>
      <w:lang w:val="fr-FR" w:eastAsia="nl-NL"/>
    </w:rPr>
  </w:style>
  <w:style w:type="paragraph" w:styleId="Title">
    <w:name w:val="Title"/>
    <w:basedOn w:val="Normal"/>
    <w:next w:val="Normal"/>
    <w:link w:val="TitleChar"/>
    <w:qFormat/>
    <w:rsid w:val="00783E00"/>
    <w:pPr>
      <w:spacing w:before="240" w:after="6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83E00"/>
    <w:rPr>
      <w:rFonts w:ascii="Verdana" w:eastAsia="Times New Roman" w:hAnsi="Verdana" w:cs="Times New Roman"/>
      <w:b/>
      <w:bCs/>
      <w:kern w:val="28"/>
      <w:sz w:val="32"/>
      <w:szCs w:val="3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Expat</dc:creator>
  <cp:lastModifiedBy>Expat</cp:lastModifiedBy>
  <cp:revision>1</cp:revision>
  <dcterms:created xsi:type="dcterms:W3CDTF">2014-11-11T13:54:00Z</dcterms:created>
  <dcterms:modified xsi:type="dcterms:W3CDTF">2014-11-11T14:06:00Z</dcterms:modified>
</cp:coreProperties>
</file>